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522"/>
      </w:tblGrid>
      <w:tr w:rsidR="00C43A95" w:rsidTr="00083DFA">
        <w:trPr>
          <w:trHeight w:hRule="exact" w:val="3742"/>
        </w:trPr>
        <w:tc>
          <w:tcPr>
            <w:tcW w:w="9060" w:type="dxa"/>
            <w:vAlign w:val="center"/>
          </w:tcPr>
          <w:p w:rsidR="00C43A95" w:rsidRDefault="00C43A95" w:rsidP="00083DFA">
            <w:pPr>
              <w:jc w:val="center"/>
              <w:rPr>
                <w:rFonts w:ascii="华文中宋" w:eastAsia="华文中宋" w:hAnsi="华文中宋"/>
                <w:color w:val="000000"/>
                <w:sz w:val="28"/>
                <w:szCs w:val="28"/>
              </w:rPr>
            </w:pPr>
          </w:p>
        </w:tc>
      </w:tr>
      <w:tr w:rsidR="00C43A95" w:rsidTr="00083DFA">
        <w:trPr>
          <w:trHeight w:hRule="exact" w:val="794"/>
        </w:trPr>
        <w:tc>
          <w:tcPr>
            <w:tcW w:w="9060" w:type="dxa"/>
          </w:tcPr>
          <w:p w:rsidR="00C43A95" w:rsidRDefault="00C43A95" w:rsidP="00105BD5">
            <w:pPr>
              <w:jc w:val="center"/>
              <w:rPr>
                <w:rFonts w:ascii="仿宋_GB2312" w:eastAsia="仿宋_GB2312" w:hAnsi="Times New Roman" w:cs="Times New Roman"/>
                <w:color w:val="000000"/>
                <w:sz w:val="32"/>
                <w:szCs w:val="24"/>
              </w:rPr>
            </w:pPr>
            <w:proofErr w:type="gramStart"/>
            <w:r w:rsidRPr="00105BD5">
              <w:rPr>
                <w:rFonts w:ascii="仿宋_GB2312" w:eastAsia="仿宋_GB2312" w:hAnsi="Times New Roman" w:cs="Times New Roman" w:hint="eastAsia"/>
                <w:sz w:val="32"/>
                <w:szCs w:val="24"/>
              </w:rPr>
              <w:t>校教发</w:t>
            </w:r>
            <w:proofErr w:type="gramEnd"/>
            <w:r w:rsidRPr="00105BD5">
              <w:rPr>
                <w:rFonts w:ascii="仿宋_GB2312" w:eastAsia="仿宋_GB2312" w:hAnsi="Times New Roman" w:cs="Times New Roman" w:hint="eastAsia"/>
                <w:sz w:val="32"/>
                <w:szCs w:val="24"/>
              </w:rPr>
              <w:t>〔20</w:t>
            </w:r>
            <w:r w:rsidRPr="00105BD5">
              <w:rPr>
                <w:rFonts w:ascii="仿宋_GB2312" w:eastAsia="仿宋_GB2312" w:hAnsi="Times New Roman" w:cs="Times New Roman"/>
                <w:sz w:val="32"/>
                <w:szCs w:val="24"/>
              </w:rPr>
              <w:t>21</w:t>
            </w:r>
            <w:r w:rsidRPr="00105BD5">
              <w:rPr>
                <w:rFonts w:ascii="仿宋_GB2312" w:eastAsia="仿宋_GB2312" w:hAnsi="Times New Roman" w:cs="Times New Roman" w:hint="eastAsia"/>
                <w:sz w:val="32"/>
                <w:szCs w:val="24"/>
              </w:rPr>
              <w:t>〕</w:t>
            </w:r>
            <w:r w:rsidR="00105BD5" w:rsidRPr="00105BD5">
              <w:rPr>
                <w:rFonts w:ascii="仿宋_GB2312" w:eastAsia="仿宋_GB2312" w:hAnsi="Times New Roman" w:cs="Times New Roman"/>
                <w:sz w:val="32"/>
                <w:szCs w:val="24"/>
              </w:rPr>
              <w:t>27</w:t>
            </w:r>
            <w:r w:rsidRPr="00105BD5">
              <w:rPr>
                <w:rFonts w:ascii="仿宋_GB2312" w:eastAsia="仿宋_GB2312" w:hAnsi="Times New Roman" w:cs="Times New Roman" w:hint="eastAsia"/>
                <w:sz w:val="32"/>
                <w:szCs w:val="24"/>
              </w:rPr>
              <w:t>号</w:t>
            </w:r>
          </w:p>
        </w:tc>
      </w:tr>
    </w:tbl>
    <w:p w:rsidR="00FC125F" w:rsidRDefault="00FC125F">
      <w:pPr>
        <w:spacing w:line="360" w:lineRule="auto"/>
        <w:rPr>
          <w:rFonts w:ascii="仿宋_GB2312" w:eastAsia="仿宋_GB2312" w:hAnsi="宋体" w:cs="宋体"/>
          <w:kern w:val="0"/>
          <w:sz w:val="28"/>
          <w:szCs w:val="28"/>
        </w:rPr>
      </w:pPr>
    </w:p>
    <w:p w:rsidR="00C43A95" w:rsidRPr="006C31B1" w:rsidRDefault="00C43A95" w:rsidP="00C43A95">
      <w:pPr>
        <w:pStyle w:val="1"/>
        <w:spacing w:before="0" w:after="0" w:line="240" w:lineRule="auto"/>
        <w:jc w:val="center"/>
        <w:rPr>
          <w:rFonts w:eastAsia="宋体"/>
          <w:color w:val="FF0000"/>
        </w:rPr>
      </w:pPr>
      <w:r>
        <w:rPr>
          <w:rFonts w:eastAsia="宋体" w:hint="eastAsia"/>
        </w:rPr>
        <w:t>关于</w:t>
      </w:r>
      <w:r>
        <w:rPr>
          <w:rFonts w:eastAsia="宋体"/>
        </w:rPr>
        <w:t>发布《</w:t>
      </w:r>
      <w:r>
        <w:rPr>
          <w:rFonts w:eastAsia="宋体" w:hint="eastAsia"/>
        </w:rPr>
        <w:t>南京邮电大学“教学卓越奖”</w:t>
      </w:r>
      <w:r>
        <w:rPr>
          <w:rFonts w:eastAsia="宋体" w:hint="eastAsia"/>
        </w:rPr>
        <w:t xml:space="preserve"> </w:t>
      </w:r>
      <w:r>
        <w:rPr>
          <w:rFonts w:eastAsia="宋体"/>
        </w:rPr>
        <w:t xml:space="preserve">  </w:t>
      </w:r>
      <w:r>
        <w:rPr>
          <w:rFonts w:eastAsia="宋体" w:hint="eastAsia"/>
        </w:rPr>
        <w:t>评审办法</w:t>
      </w:r>
      <w:r w:rsidRPr="00CE7B6F">
        <w:rPr>
          <w:rFonts w:eastAsia="宋体" w:hint="eastAsia"/>
          <w:color w:val="000000" w:themeColor="text1"/>
        </w:rPr>
        <w:t>（修订）</w:t>
      </w:r>
      <w:r>
        <w:rPr>
          <w:rFonts w:eastAsia="宋体"/>
        </w:rPr>
        <w:t>》</w:t>
      </w:r>
      <w:r>
        <w:rPr>
          <w:rFonts w:eastAsia="宋体" w:hint="eastAsia"/>
        </w:rPr>
        <w:t>的</w:t>
      </w:r>
      <w:r>
        <w:rPr>
          <w:rFonts w:eastAsia="宋体"/>
        </w:rPr>
        <w:t>通知</w:t>
      </w:r>
    </w:p>
    <w:p w:rsidR="00C43A95" w:rsidRDefault="00C43A95" w:rsidP="00C43A95">
      <w:pPr>
        <w:adjustRightInd w:val="0"/>
        <w:snapToGrid w:val="0"/>
        <w:spacing w:line="360" w:lineRule="auto"/>
        <w:rPr>
          <w:rFonts w:ascii="Times New Roman" w:eastAsia="仿宋_GB2312" w:hAnsi="Times New Roman" w:cs="Times New Roman"/>
          <w:color w:val="000000"/>
          <w:sz w:val="32"/>
          <w:szCs w:val="24"/>
        </w:rPr>
      </w:pPr>
    </w:p>
    <w:p w:rsidR="00C43A95" w:rsidRDefault="00C43A95" w:rsidP="00C43A95">
      <w:pPr>
        <w:adjustRightInd w:val="0"/>
        <w:snapToGrid w:val="0"/>
        <w:spacing w:line="360" w:lineRule="auto"/>
        <w:rPr>
          <w:rFonts w:ascii="Times New Roman" w:eastAsia="仿宋_GB2312" w:hAnsi="Times New Roman" w:cs="Times New Roman"/>
          <w:color w:val="000000"/>
          <w:sz w:val="32"/>
          <w:szCs w:val="24"/>
        </w:rPr>
      </w:pPr>
      <w:r>
        <w:rPr>
          <w:rFonts w:ascii="Times New Roman" w:eastAsia="仿宋_GB2312" w:hAnsi="Times New Roman" w:cs="Times New Roman" w:hint="eastAsia"/>
          <w:color w:val="000000"/>
          <w:sz w:val="32"/>
          <w:szCs w:val="24"/>
        </w:rPr>
        <w:t>各学院（部）：</w:t>
      </w:r>
    </w:p>
    <w:p w:rsidR="00C43A95" w:rsidRDefault="00C43A95" w:rsidP="00C43A95">
      <w:pPr>
        <w:adjustRightInd w:val="0"/>
        <w:snapToGrid w:val="0"/>
        <w:spacing w:line="360" w:lineRule="auto"/>
        <w:ind w:firstLineChars="150" w:firstLine="480"/>
        <w:rPr>
          <w:rFonts w:ascii="Times New Roman" w:eastAsia="仿宋_GB2312" w:hAnsi="Times New Roman" w:cs="Times New Roman"/>
          <w:color w:val="000000"/>
          <w:sz w:val="32"/>
          <w:szCs w:val="24"/>
        </w:rPr>
      </w:pPr>
      <w:r>
        <w:rPr>
          <w:rFonts w:ascii="Times New Roman" w:eastAsia="仿宋_GB2312" w:hAnsi="Times New Roman" w:cs="Times New Roman" w:hint="eastAsia"/>
          <w:color w:val="000000"/>
          <w:sz w:val="32"/>
          <w:szCs w:val="24"/>
        </w:rPr>
        <w:t>《南京邮电大学“教学卓越奖”评审办法（修订）》已由校长办公会议审议通过，现予发布，请遵照执行。</w:t>
      </w:r>
    </w:p>
    <w:p w:rsidR="00FC125F" w:rsidRPr="00C43A95" w:rsidRDefault="00FC125F">
      <w:pPr>
        <w:pStyle w:val="a4"/>
        <w:spacing w:line="500" w:lineRule="exact"/>
        <w:ind w:leftChars="43" w:left="90" w:firstLineChars="200" w:firstLine="640"/>
        <w:rPr>
          <w:rFonts w:ascii="仿宋_GB2312" w:eastAsia="仿宋_GB2312" w:hAnsi="宋体" w:cs="Courier New"/>
          <w:sz w:val="32"/>
          <w:szCs w:val="32"/>
        </w:rPr>
      </w:pPr>
    </w:p>
    <w:p w:rsidR="00C43A95" w:rsidRDefault="00C43A95">
      <w:pPr>
        <w:pStyle w:val="a4"/>
        <w:spacing w:line="500" w:lineRule="exact"/>
        <w:ind w:leftChars="43" w:left="90" w:firstLineChars="200" w:firstLine="640"/>
        <w:rPr>
          <w:rFonts w:ascii="仿宋_GB2312" w:eastAsia="仿宋_GB2312" w:hAnsi="宋体" w:cs="Courier New"/>
          <w:sz w:val="32"/>
          <w:szCs w:val="32"/>
        </w:rPr>
      </w:pPr>
    </w:p>
    <w:p w:rsidR="00C43A95" w:rsidRDefault="00C43A95">
      <w:pPr>
        <w:pStyle w:val="a4"/>
        <w:spacing w:line="500" w:lineRule="exact"/>
        <w:ind w:leftChars="43" w:left="90" w:firstLineChars="200" w:firstLine="640"/>
        <w:rPr>
          <w:rFonts w:ascii="仿宋_GB2312" w:eastAsia="仿宋_GB2312" w:hAnsi="宋体" w:cs="Courier New"/>
          <w:sz w:val="32"/>
          <w:szCs w:val="32"/>
        </w:rPr>
      </w:pPr>
    </w:p>
    <w:p w:rsidR="00C43A95" w:rsidRDefault="00C43A95">
      <w:pPr>
        <w:pStyle w:val="a4"/>
        <w:spacing w:line="500" w:lineRule="exact"/>
        <w:ind w:leftChars="43" w:left="90" w:firstLineChars="200" w:firstLine="640"/>
        <w:rPr>
          <w:rFonts w:ascii="仿宋_GB2312" w:eastAsia="仿宋_GB2312" w:hAnsi="宋体" w:cs="Courier New"/>
          <w:sz w:val="32"/>
          <w:szCs w:val="32"/>
        </w:rPr>
      </w:pPr>
    </w:p>
    <w:p w:rsidR="00C43A95" w:rsidRDefault="00C43A95">
      <w:pPr>
        <w:pStyle w:val="a4"/>
        <w:spacing w:line="500" w:lineRule="exact"/>
        <w:ind w:leftChars="43" w:left="90" w:firstLineChars="200" w:firstLine="640"/>
        <w:rPr>
          <w:rFonts w:ascii="仿宋_GB2312" w:eastAsia="仿宋_GB2312" w:hAnsi="宋体" w:cs="Courier New"/>
          <w:sz w:val="32"/>
          <w:szCs w:val="32"/>
        </w:rPr>
      </w:pPr>
    </w:p>
    <w:tbl>
      <w:tblPr>
        <w:tblW w:w="0" w:type="auto"/>
        <w:tblLook w:val="04A0" w:firstRow="1" w:lastRow="0" w:firstColumn="1" w:lastColumn="0" w:noHBand="0" w:noVBand="1"/>
      </w:tblPr>
      <w:tblGrid>
        <w:gridCol w:w="7243"/>
        <w:gridCol w:w="1279"/>
      </w:tblGrid>
      <w:tr w:rsidR="00C43A95" w:rsidTr="00083DFA">
        <w:tc>
          <w:tcPr>
            <w:tcW w:w="7705" w:type="dxa"/>
          </w:tcPr>
          <w:p w:rsidR="00C43A95" w:rsidRDefault="00C43A95" w:rsidP="00C43A95">
            <w:pPr>
              <w:adjustRightInd w:val="0"/>
              <w:snapToGrid w:val="0"/>
              <w:spacing w:line="360" w:lineRule="auto"/>
              <w:jc w:val="right"/>
              <w:rPr>
                <w:rFonts w:ascii="Times New Roman" w:eastAsia="仿宋_GB2312" w:hAnsi="Times New Roman" w:cs="Times New Roman"/>
                <w:color w:val="000000"/>
                <w:sz w:val="32"/>
                <w:szCs w:val="24"/>
              </w:rPr>
            </w:pPr>
            <w:r>
              <w:rPr>
                <w:rFonts w:ascii="Times New Roman" w:eastAsia="仿宋_GB2312" w:hAnsi="Times New Roman" w:cs="Times New Roman" w:hint="eastAsia"/>
                <w:color w:val="000000"/>
                <w:sz w:val="32"/>
                <w:szCs w:val="24"/>
              </w:rPr>
              <w:t>20</w:t>
            </w:r>
            <w:r>
              <w:rPr>
                <w:rFonts w:ascii="Times New Roman" w:eastAsia="仿宋_GB2312" w:hAnsi="Times New Roman" w:cs="Times New Roman"/>
                <w:color w:val="000000"/>
                <w:sz w:val="32"/>
                <w:szCs w:val="24"/>
              </w:rPr>
              <w:t>21</w:t>
            </w:r>
            <w:r>
              <w:rPr>
                <w:rFonts w:ascii="Times New Roman" w:eastAsia="仿宋_GB2312" w:hAnsi="Times New Roman" w:cs="Times New Roman" w:hint="eastAsia"/>
                <w:color w:val="000000"/>
                <w:sz w:val="32"/>
                <w:szCs w:val="24"/>
              </w:rPr>
              <w:t>年</w:t>
            </w:r>
            <w:r>
              <w:rPr>
                <w:rFonts w:ascii="Times New Roman" w:eastAsia="仿宋_GB2312" w:hAnsi="Times New Roman" w:cs="Times New Roman"/>
                <w:color w:val="000000"/>
                <w:sz w:val="32"/>
                <w:szCs w:val="24"/>
              </w:rPr>
              <w:t>6</w:t>
            </w:r>
            <w:r>
              <w:rPr>
                <w:rFonts w:ascii="Times New Roman" w:eastAsia="仿宋_GB2312" w:hAnsi="Times New Roman" w:cs="Times New Roman" w:hint="eastAsia"/>
                <w:color w:val="000000"/>
                <w:sz w:val="32"/>
                <w:szCs w:val="24"/>
              </w:rPr>
              <w:t>月</w:t>
            </w:r>
            <w:r>
              <w:rPr>
                <w:rFonts w:ascii="Times New Roman" w:eastAsia="仿宋_GB2312" w:hAnsi="Times New Roman" w:cs="Times New Roman"/>
                <w:color w:val="000000"/>
                <w:sz w:val="32"/>
                <w:szCs w:val="24"/>
              </w:rPr>
              <w:t>7</w:t>
            </w:r>
            <w:r>
              <w:rPr>
                <w:rFonts w:ascii="Times New Roman" w:eastAsia="仿宋_GB2312" w:hAnsi="Times New Roman" w:cs="Times New Roman" w:hint="eastAsia"/>
                <w:color w:val="000000"/>
                <w:sz w:val="32"/>
                <w:szCs w:val="24"/>
              </w:rPr>
              <w:t>日</w:t>
            </w:r>
          </w:p>
        </w:tc>
        <w:tc>
          <w:tcPr>
            <w:tcW w:w="1355" w:type="dxa"/>
          </w:tcPr>
          <w:p w:rsidR="00C43A95" w:rsidRDefault="00C43A95" w:rsidP="00083DFA">
            <w:pPr>
              <w:adjustRightInd w:val="0"/>
              <w:snapToGrid w:val="0"/>
              <w:spacing w:line="360" w:lineRule="auto"/>
              <w:rPr>
                <w:rFonts w:ascii="Times New Roman" w:eastAsia="仿宋_GB2312" w:hAnsi="Times New Roman" w:cs="Times New Roman"/>
                <w:color w:val="000000"/>
                <w:sz w:val="32"/>
                <w:szCs w:val="24"/>
              </w:rPr>
            </w:pPr>
          </w:p>
        </w:tc>
      </w:tr>
    </w:tbl>
    <w:p w:rsidR="00C43A95" w:rsidRDefault="00C43A95">
      <w:pPr>
        <w:pStyle w:val="a4"/>
        <w:spacing w:line="500" w:lineRule="exact"/>
        <w:ind w:leftChars="43" w:left="90" w:firstLineChars="200" w:firstLine="640"/>
        <w:rPr>
          <w:rFonts w:ascii="仿宋_GB2312" w:eastAsia="仿宋_GB2312" w:hAnsi="宋体" w:cs="Courier New"/>
          <w:sz w:val="32"/>
          <w:szCs w:val="32"/>
        </w:rPr>
      </w:pPr>
    </w:p>
    <w:p w:rsidR="00C43A95" w:rsidRDefault="00C43A95">
      <w:pPr>
        <w:pStyle w:val="a4"/>
        <w:spacing w:line="500" w:lineRule="exact"/>
        <w:ind w:leftChars="43" w:left="90" w:firstLineChars="200" w:firstLine="640"/>
        <w:rPr>
          <w:rFonts w:ascii="仿宋_GB2312" w:eastAsia="仿宋_GB2312" w:hAnsi="宋体" w:cs="Courier New"/>
          <w:sz w:val="32"/>
          <w:szCs w:val="32"/>
        </w:rPr>
      </w:pPr>
    </w:p>
    <w:p w:rsidR="00C43A95" w:rsidRDefault="00C43A95">
      <w:pPr>
        <w:pStyle w:val="a4"/>
        <w:spacing w:line="500" w:lineRule="exact"/>
        <w:ind w:leftChars="43" w:left="90" w:firstLineChars="200" w:firstLine="640"/>
        <w:rPr>
          <w:rFonts w:ascii="仿宋_GB2312" w:eastAsia="仿宋_GB2312" w:hAnsi="宋体" w:cs="Courier New"/>
          <w:sz w:val="32"/>
          <w:szCs w:val="32"/>
        </w:rPr>
      </w:pPr>
    </w:p>
    <w:p w:rsidR="00C43A95" w:rsidRDefault="00C43A95" w:rsidP="00C43A95">
      <w:pPr>
        <w:pStyle w:val="1"/>
        <w:spacing w:before="0" w:after="0" w:line="240" w:lineRule="auto"/>
        <w:jc w:val="center"/>
        <w:rPr>
          <w:rFonts w:eastAsia="宋体"/>
        </w:rPr>
      </w:pPr>
      <w:r>
        <w:rPr>
          <w:rFonts w:eastAsia="宋体" w:hint="eastAsia"/>
        </w:rPr>
        <w:lastRenderedPageBreak/>
        <w:t>南京邮电大学“教学卓越奖”评审办法</w:t>
      </w:r>
    </w:p>
    <w:p w:rsidR="00C43A95" w:rsidRPr="00CE7B6F" w:rsidRDefault="00C43A95" w:rsidP="00C43A95">
      <w:pPr>
        <w:pStyle w:val="1"/>
        <w:spacing w:before="0" w:after="0" w:line="240" w:lineRule="auto"/>
        <w:jc w:val="center"/>
        <w:rPr>
          <w:rFonts w:eastAsia="宋体"/>
          <w:color w:val="000000" w:themeColor="text1"/>
        </w:rPr>
      </w:pPr>
      <w:r w:rsidRPr="00CE7B6F">
        <w:rPr>
          <w:rFonts w:eastAsia="宋体" w:hint="eastAsia"/>
          <w:color w:val="000000" w:themeColor="text1"/>
        </w:rPr>
        <w:t>（修订）</w:t>
      </w:r>
    </w:p>
    <w:p w:rsidR="00C43A95" w:rsidRDefault="00C43A95" w:rsidP="00C43A95">
      <w:pPr>
        <w:pStyle w:val="a4"/>
        <w:spacing w:line="500" w:lineRule="exact"/>
        <w:rPr>
          <w:rFonts w:ascii="仿宋_GB2312" w:eastAsia="仿宋_GB2312" w:hAnsi="宋体" w:cs="Courier New"/>
          <w:sz w:val="32"/>
          <w:szCs w:val="32"/>
        </w:rPr>
      </w:pP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为落实立德树人根本任务，</w:t>
      </w:r>
      <w:r w:rsidR="00F679DF" w:rsidRPr="00105BD5">
        <w:rPr>
          <w:rFonts w:ascii="仿宋_GB2312" w:eastAsia="仿宋_GB2312" w:hAnsi="宋体" w:cs="Courier New" w:hint="eastAsia"/>
          <w:sz w:val="32"/>
          <w:szCs w:val="32"/>
        </w:rPr>
        <w:t>坚持“以本为本”，把本科教育放在人才培养的核心地位,</w:t>
      </w:r>
      <w:r w:rsidRPr="00105BD5">
        <w:rPr>
          <w:rFonts w:ascii="仿宋_GB2312" w:eastAsia="仿宋_GB2312" w:hAnsi="宋体" w:cs="Courier New" w:hint="eastAsia"/>
          <w:sz w:val="32"/>
          <w:szCs w:val="32"/>
        </w:rPr>
        <w:t>激励教师潜心从事教育教学工作，加强在人才培养事业中做出突出业绩教师的分类评价制度改革，</w:t>
      </w:r>
      <w:r w:rsidR="00F679DF" w:rsidRPr="00105BD5">
        <w:rPr>
          <w:rFonts w:ascii="仿宋_GB2312" w:eastAsia="仿宋_GB2312" w:hAnsi="宋体" w:cs="Courier New" w:hint="eastAsia"/>
          <w:sz w:val="32"/>
          <w:szCs w:val="32"/>
        </w:rPr>
        <w:t>进一步</w:t>
      </w:r>
      <w:r w:rsidR="00F679DF" w:rsidRPr="00105BD5">
        <w:rPr>
          <w:rFonts w:ascii="仿宋_GB2312" w:eastAsia="仿宋_GB2312" w:hAnsi="宋体" w:cs="Courier New"/>
          <w:sz w:val="32"/>
          <w:szCs w:val="32"/>
        </w:rPr>
        <w:t>提高</w:t>
      </w:r>
      <w:r w:rsidR="00F679DF" w:rsidRPr="00105BD5">
        <w:rPr>
          <w:rFonts w:ascii="仿宋_GB2312" w:eastAsia="仿宋_GB2312" w:hAnsi="宋体" w:cs="Courier New" w:hint="eastAsia"/>
          <w:sz w:val="32"/>
          <w:szCs w:val="32"/>
        </w:rPr>
        <w:t>人才</w:t>
      </w:r>
      <w:r w:rsidR="00F679DF" w:rsidRPr="00105BD5">
        <w:rPr>
          <w:rFonts w:ascii="仿宋_GB2312" w:eastAsia="仿宋_GB2312" w:hAnsi="宋体" w:cs="Courier New"/>
          <w:sz w:val="32"/>
          <w:szCs w:val="32"/>
        </w:rPr>
        <w:t>培养质量，</w:t>
      </w:r>
      <w:r>
        <w:rPr>
          <w:rFonts w:ascii="仿宋_GB2312" w:eastAsia="仿宋_GB2312" w:hAnsi="宋体" w:cs="Courier New" w:hint="eastAsia"/>
          <w:sz w:val="32"/>
          <w:szCs w:val="32"/>
        </w:rPr>
        <w:t>全力推进“双一流”高校建设和江苏省高水平大学建设，结合我校实际，特制定本办法。</w:t>
      </w:r>
    </w:p>
    <w:p w:rsidR="00FC125F" w:rsidRDefault="00896753">
      <w:pPr>
        <w:pStyle w:val="a4"/>
        <w:spacing w:line="500" w:lineRule="exact"/>
        <w:ind w:leftChars="43" w:left="90"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一、评选范围和数量</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南京邮电大学在职在岗从事教育教学工作，职称为副高级或中级职称的教师。</w:t>
      </w:r>
    </w:p>
    <w:p w:rsidR="00FC125F" w:rsidRDefault="00896753">
      <w:pPr>
        <w:pStyle w:val="a4"/>
        <w:spacing w:line="500" w:lineRule="exact"/>
        <w:ind w:leftChars="43" w:left="90"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教学</w:t>
      </w:r>
      <w:proofErr w:type="gramStart"/>
      <w:r>
        <w:rPr>
          <w:rFonts w:ascii="仿宋_GB2312" w:eastAsia="仿宋_GB2312" w:hAnsi="宋体" w:cs="Courier New" w:hint="eastAsia"/>
          <w:color w:val="000000" w:themeColor="text1"/>
          <w:sz w:val="32"/>
          <w:szCs w:val="32"/>
        </w:rPr>
        <w:t>卓越奖</w:t>
      </w:r>
      <w:proofErr w:type="gramEnd"/>
      <w:r>
        <w:rPr>
          <w:rFonts w:ascii="仿宋_GB2312" w:eastAsia="仿宋_GB2312" w:hAnsi="宋体" w:cs="Courier New" w:hint="eastAsia"/>
          <w:color w:val="000000" w:themeColor="text1"/>
          <w:sz w:val="32"/>
          <w:szCs w:val="32"/>
        </w:rPr>
        <w:t>的评审可统筹兼顾符合申报条件者的职称情况，原则上每年不超过2名。</w:t>
      </w:r>
    </w:p>
    <w:p w:rsidR="00FC125F" w:rsidRDefault="00896753">
      <w:pPr>
        <w:pStyle w:val="a4"/>
        <w:spacing w:line="500" w:lineRule="exact"/>
        <w:ind w:leftChars="43" w:left="90"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 xml:space="preserve">二、思想政治素质和职业道德要求 </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 xml:space="preserve">（一）以习近平新时代中国特色社会主义思想为指导，坚定正确政治方向，拥护中国共产党的领导，贯彻落实党和国家教育方针，热爱教育事业，遵守法律法规和学校规章制度。 </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（二）具有良好的职业道德和敬业精神，坚持立德树人，以教书育人为使命，真情关爱学生成长，在为人师表、爱岗敬业、无私奉献等方面具有先进典型的示范和引领作用。</w:t>
      </w:r>
    </w:p>
    <w:p w:rsidR="00FC125F" w:rsidRDefault="00896753">
      <w:pPr>
        <w:pStyle w:val="a4"/>
        <w:spacing w:line="500" w:lineRule="exact"/>
        <w:ind w:leftChars="43" w:left="90"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三、评选申报条件</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工作业绩满足下列5项条件中的任意一项：</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（一）获国家级教学成果奖一等奖1项（排名前三）；或获得国家级教学成果奖二等奖1项（排名前二）；或省部级教学成果奖特等奖1项（排名前二）。</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（二）作为第一指导教师指导学生参加创新创业竞赛获得国家级奖励，满足以下条件之一者：</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（1）获得中国“互联网+”大学生创新创业大赛金奖1项，或银奖2项；</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（2）获得“挑战杯”全国大学生课外学术作品竞赛特等奖1项，或一等奖2项；</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（3）获得“创青春”全国大学生创业大赛金奖1项及银奖1项；</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（4）获得全国大学生数学建模竞赛最高奖杯，或三届均获一等奖2项，或累计获得一等奖8项；</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（5）获得全国大学生电子设计竞赛最高奖杯，或三届均获一等奖1项。</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（三）作为第一主持完成以下工作之二者：</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（1）完成国家线下“金课”建设1项；</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（2）完成国家线上“金课”建设1项；</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（3）完成国家线上线下混合式“金课”建设1项；</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（4）完成国家虚拟仿真“金课”建设1项；</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（5）完成国家社会实践“金课”建设1项；</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（6）正式出版国家级规划教材1部。</w:t>
      </w:r>
    </w:p>
    <w:p w:rsidR="00FC125F" w:rsidRDefault="00896753">
      <w:pPr>
        <w:pStyle w:val="a4"/>
        <w:spacing w:line="500" w:lineRule="exact"/>
        <w:ind w:leftChars="43" w:left="90"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（四）其他在教育教学改革、创新创业竞赛、教学资源建设、教育教学能力等方面获得与前三条内容相当学校公认的标志</w:t>
      </w:r>
      <w:proofErr w:type="gramStart"/>
      <w:r>
        <w:rPr>
          <w:rFonts w:ascii="仿宋_GB2312" w:eastAsia="仿宋_GB2312" w:hAnsi="宋体" w:cs="Courier New" w:hint="eastAsia"/>
          <w:color w:val="000000" w:themeColor="text1"/>
          <w:sz w:val="32"/>
          <w:szCs w:val="32"/>
        </w:rPr>
        <w:t>性教学</w:t>
      </w:r>
      <w:proofErr w:type="gramEnd"/>
      <w:r>
        <w:rPr>
          <w:rFonts w:ascii="仿宋_GB2312" w:eastAsia="仿宋_GB2312" w:hAnsi="宋体" w:cs="Courier New" w:hint="eastAsia"/>
          <w:color w:val="000000" w:themeColor="text1"/>
          <w:sz w:val="32"/>
          <w:szCs w:val="32"/>
        </w:rPr>
        <w:t>成果。</w:t>
      </w:r>
    </w:p>
    <w:p w:rsidR="00FC125F" w:rsidRDefault="00896753">
      <w:pPr>
        <w:pStyle w:val="a4"/>
        <w:spacing w:line="500" w:lineRule="exact"/>
        <w:ind w:leftChars="43" w:left="90"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（五）</w:t>
      </w:r>
      <w:r w:rsidRPr="00105BD5">
        <w:rPr>
          <w:rFonts w:ascii="仿宋_GB2312" w:eastAsia="仿宋_GB2312" w:hAnsi="宋体" w:cs="Courier New" w:hint="eastAsia"/>
          <w:sz w:val="32"/>
          <w:szCs w:val="32"/>
        </w:rPr>
        <w:t>从事</w:t>
      </w:r>
      <w:r w:rsidR="00E5791E" w:rsidRPr="00105BD5">
        <w:rPr>
          <w:rFonts w:ascii="仿宋_GB2312" w:eastAsia="仿宋_GB2312" w:hAnsi="宋体" w:cs="Courier New" w:hint="eastAsia"/>
          <w:sz w:val="32"/>
          <w:szCs w:val="32"/>
        </w:rPr>
        <w:t>高等</w:t>
      </w:r>
      <w:r w:rsidR="00E5791E" w:rsidRPr="00105BD5">
        <w:rPr>
          <w:rFonts w:ascii="仿宋_GB2312" w:eastAsia="仿宋_GB2312" w:hAnsi="宋体" w:cs="Courier New"/>
          <w:sz w:val="32"/>
          <w:szCs w:val="32"/>
        </w:rPr>
        <w:t>教育</w:t>
      </w:r>
      <w:r w:rsidRPr="00105BD5">
        <w:rPr>
          <w:rFonts w:ascii="仿宋_GB2312" w:eastAsia="仿宋_GB2312" w:hAnsi="宋体" w:cs="Courier New" w:hint="eastAsia"/>
          <w:sz w:val="32"/>
          <w:szCs w:val="32"/>
        </w:rPr>
        <w:t>教学工作30年及以上，</w:t>
      </w:r>
      <w:r>
        <w:rPr>
          <w:rFonts w:ascii="仿宋_GB2312" w:eastAsia="仿宋_GB2312" w:hAnsi="宋体" w:cs="Courier New" w:hint="eastAsia"/>
          <w:color w:val="000000" w:themeColor="text1"/>
          <w:sz w:val="32"/>
          <w:szCs w:val="32"/>
        </w:rPr>
        <w:t>教学工作量饱满，受益学生面广，教学质量综合评价常年排名本单位前10%。</w:t>
      </w:r>
    </w:p>
    <w:p w:rsidR="00FC125F" w:rsidRDefault="00896753">
      <w:pPr>
        <w:pStyle w:val="a4"/>
        <w:spacing w:line="500" w:lineRule="exact"/>
        <w:ind w:leftChars="43" w:left="90"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四、评选申报程序</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1.个人申请，并提供相关支撑材料。</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2.申请人所在二级单位根据实际情况进行民主推荐，基层党组织进行师德师风考核，确定向学校推荐名单。</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3.材料审核，教务处、人事处、教学质量监控与评估中心等部门共同对申请人材料进行审核。</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4.评审公示，学校组织成立评审组，根据申请人的申报材料，结合教育教学工作实绩进行综合评审，并在校内进行公示五个工作日。</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5.推荐审定，公示无异议的人员，报校长办公会议审批后，授予“南京邮电大学教学卓越奖”。</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6.获奖人员满足本系列高一级职称评审的工作年限</w:t>
      </w:r>
      <w:r>
        <w:rPr>
          <w:rFonts w:ascii="仿宋_GB2312" w:eastAsia="仿宋_GB2312" w:hAnsi="宋体" w:cs="Courier New" w:hint="eastAsia"/>
          <w:color w:val="000000" w:themeColor="text1"/>
          <w:sz w:val="32"/>
          <w:szCs w:val="32"/>
        </w:rPr>
        <w:t>、考核条件</w:t>
      </w:r>
      <w:r>
        <w:rPr>
          <w:rFonts w:ascii="仿宋_GB2312" w:eastAsia="仿宋_GB2312" w:hAnsi="宋体" w:cs="Courier New" w:hint="eastAsia"/>
          <w:sz w:val="32"/>
          <w:szCs w:val="32"/>
        </w:rPr>
        <w:t>及教学工作基本要求的，可由学校教学指导委员会直接推荐至学校高级职称评定委员会参评高一级职称，不受科研要求和淘汰比例限制。</w:t>
      </w:r>
    </w:p>
    <w:p w:rsidR="00FC125F" w:rsidRDefault="00896753">
      <w:pPr>
        <w:pStyle w:val="a4"/>
        <w:spacing w:line="500" w:lineRule="exact"/>
        <w:ind w:leftChars="43" w:left="90"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五、成果认定和评审时间</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1.所有参评申报的成果截至上一年度12月31日。</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2.教学</w:t>
      </w:r>
      <w:proofErr w:type="gramStart"/>
      <w:r>
        <w:rPr>
          <w:rFonts w:ascii="仿宋_GB2312" w:eastAsia="仿宋_GB2312" w:hAnsi="宋体" w:cs="Courier New" w:hint="eastAsia"/>
          <w:sz w:val="32"/>
          <w:szCs w:val="32"/>
        </w:rPr>
        <w:t>卓越奖</w:t>
      </w:r>
      <w:proofErr w:type="gramEnd"/>
      <w:r>
        <w:rPr>
          <w:rFonts w:ascii="仿宋_GB2312" w:eastAsia="仿宋_GB2312" w:hAnsi="宋体" w:cs="Courier New" w:hint="eastAsia"/>
          <w:sz w:val="32"/>
          <w:szCs w:val="32"/>
        </w:rPr>
        <w:t>的评审一般在每年4月完成。</w:t>
      </w:r>
    </w:p>
    <w:p w:rsidR="00FC125F" w:rsidRDefault="00896753">
      <w:pPr>
        <w:pStyle w:val="a4"/>
        <w:spacing w:line="500" w:lineRule="exact"/>
        <w:ind w:leftChars="43" w:left="90"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六、附则</w:t>
      </w:r>
    </w:p>
    <w:p w:rsidR="00FC125F" w:rsidRDefault="00896753">
      <w:pPr>
        <w:pStyle w:val="a4"/>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本办法自公布之日起实施，由教务处和人事处负责解释。</w:t>
      </w:r>
    </w:p>
    <w:p w:rsidR="00FC125F" w:rsidRDefault="00FC125F">
      <w:pPr>
        <w:pStyle w:val="a4"/>
        <w:spacing w:line="500" w:lineRule="exact"/>
        <w:ind w:leftChars="43" w:left="90" w:firstLineChars="200" w:firstLine="640"/>
        <w:rPr>
          <w:rFonts w:ascii="仿宋_GB2312" w:eastAsia="仿宋_GB2312" w:hAnsi="宋体" w:cs="Courier New"/>
          <w:sz w:val="32"/>
          <w:szCs w:val="32"/>
        </w:rPr>
      </w:pPr>
    </w:p>
    <w:p w:rsidR="005B5006" w:rsidRDefault="005B5006">
      <w:pPr>
        <w:pStyle w:val="a4"/>
        <w:spacing w:line="500" w:lineRule="exact"/>
        <w:ind w:leftChars="43" w:left="90" w:firstLineChars="200" w:firstLine="640"/>
        <w:rPr>
          <w:rFonts w:ascii="仿宋_GB2312" w:eastAsia="仿宋_GB2312" w:hAnsi="宋体" w:cs="Courier New"/>
          <w:sz w:val="32"/>
          <w:szCs w:val="32"/>
        </w:rPr>
      </w:pPr>
    </w:p>
    <w:p w:rsidR="005B5006" w:rsidRDefault="005B5006">
      <w:pPr>
        <w:pStyle w:val="a4"/>
        <w:spacing w:line="500" w:lineRule="exact"/>
        <w:ind w:leftChars="43" w:left="90" w:firstLineChars="200" w:firstLine="640"/>
        <w:rPr>
          <w:rFonts w:ascii="仿宋_GB2312" w:eastAsia="仿宋_GB2312" w:hAnsi="宋体" w:cs="Courier New"/>
          <w:sz w:val="32"/>
          <w:szCs w:val="32"/>
        </w:rPr>
      </w:pPr>
    </w:p>
    <w:p w:rsidR="005B5006" w:rsidRDefault="005B5006">
      <w:pPr>
        <w:pStyle w:val="a4"/>
        <w:spacing w:line="500" w:lineRule="exact"/>
        <w:ind w:leftChars="43" w:left="90" w:firstLineChars="200" w:firstLine="640"/>
        <w:rPr>
          <w:rFonts w:ascii="仿宋_GB2312" w:eastAsia="仿宋_GB2312" w:hAnsi="宋体" w:cs="Courier New"/>
          <w:sz w:val="32"/>
          <w:szCs w:val="32"/>
        </w:rPr>
      </w:pPr>
    </w:p>
    <w:p w:rsidR="005B5006" w:rsidRDefault="005B5006">
      <w:pPr>
        <w:pStyle w:val="a4"/>
        <w:spacing w:line="500" w:lineRule="exact"/>
        <w:ind w:leftChars="43" w:left="90" w:firstLineChars="200" w:firstLine="640"/>
        <w:rPr>
          <w:rFonts w:ascii="仿宋_GB2312" w:eastAsia="仿宋_GB2312" w:hAnsi="宋体" w:cs="Courier New" w:hint="eastAsia"/>
          <w:sz w:val="32"/>
          <w:szCs w:val="32"/>
        </w:rPr>
      </w:pPr>
    </w:p>
    <w:tbl>
      <w:tblPr>
        <w:tblpPr w:leftFromText="180" w:rightFromText="180" w:vertAnchor="text" w:horzAnchor="margin" w:tblpY="702"/>
        <w:tblW w:w="8364"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0"/>
        <w:gridCol w:w="5028"/>
        <w:gridCol w:w="3316"/>
      </w:tblGrid>
      <w:tr w:rsidR="005B5006" w:rsidTr="009154EC">
        <w:trPr>
          <w:cantSplit/>
        </w:trPr>
        <w:tc>
          <w:tcPr>
            <w:tcW w:w="8364" w:type="dxa"/>
            <w:gridSpan w:val="3"/>
            <w:tcBorders>
              <w:top w:val="nil"/>
              <w:bottom w:val="nil"/>
            </w:tcBorders>
          </w:tcPr>
          <w:p w:rsidR="005B5006" w:rsidRDefault="005B5006" w:rsidP="009154EC">
            <w:pPr>
              <w:tabs>
                <w:tab w:val="left" w:pos="5598"/>
              </w:tabs>
              <w:ind w:right="298"/>
              <w:rPr>
                <w:rFonts w:ascii="黑体" w:eastAsia="黑体" w:hAnsi="Times New Roman" w:cs="Times New Roman"/>
                <w:color w:val="000000"/>
                <w:sz w:val="32"/>
                <w:szCs w:val="32"/>
              </w:rPr>
            </w:pPr>
          </w:p>
        </w:tc>
      </w:tr>
      <w:tr w:rsidR="005B5006" w:rsidTr="009154EC">
        <w:trPr>
          <w:cantSplit/>
        </w:trPr>
        <w:tc>
          <w:tcPr>
            <w:tcW w:w="20" w:type="dxa"/>
            <w:tcBorders>
              <w:top w:val="single" w:sz="4" w:space="0" w:color="auto"/>
              <w:bottom w:val="single" w:sz="4" w:space="0" w:color="auto"/>
            </w:tcBorders>
          </w:tcPr>
          <w:p w:rsidR="005B5006" w:rsidRDefault="005B5006" w:rsidP="009154EC">
            <w:pPr>
              <w:tabs>
                <w:tab w:val="left" w:pos="5598"/>
              </w:tabs>
              <w:spacing w:line="440" w:lineRule="exact"/>
              <w:rPr>
                <w:rFonts w:ascii="仿宋_GB2312" w:eastAsia="仿宋_GB2312" w:hAnsi="Times New Roman" w:cs="Times New Roman"/>
                <w:color w:val="000000"/>
                <w:sz w:val="32"/>
                <w:szCs w:val="32"/>
              </w:rPr>
            </w:pPr>
          </w:p>
        </w:tc>
        <w:tc>
          <w:tcPr>
            <w:tcW w:w="5028" w:type="dxa"/>
            <w:tcBorders>
              <w:top w:val="single" w:sz="4" w:space="0" w:color="auto"/>
              <w:bottom w:val="single" w:sz="4" w:space="0" w:color="auto"/>
            </w:tcBorders>
          </w:tcPr>
          <w:p w:rsidR="005B5006" w:rsidRDefault="005B5006" w:rsidP="009154EC">
            <w:pPr>
              <w:tabs>
                <w:tab w:val="left" w:pos="5598"/>
              </w:tabs>
              <w:spacing w:beforeLines="50" w:before="156" w:afterLines="50" w:after="156" w:line="440" w:lineRule="exac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南京邮电大学校长办公室</w:t>
            </w:r>
          </w:p>
        </w:tc>
        <w:tc>
          <w:tcPr>
            <w:tcW w:w="3316" w:type="dxa"/>
            <w:tcBorders>
              <w:top w:val="single" w:sz="4" w:space="0" w:color="auto"/>
              <w:bottom w:val="single" w:sz="4" w:space="0" w:color="auto"/>
            </w:tcBorders>
          </w:tcPr>
          <w:p w:rsidR="005B5006" w:rsidRDefault="005B5006" w:rsidP="005B5006">
            <w:pPr>
              <w:tabs>
                <w:tab w:val="left" w:pos="5598"/>
              </w:tabs>
              <w:spacing w:beforeLines="50" w:before="156" w:afterLines="50" w:after="156" w:line="440" w:lineRule="exact"/>
              <w:rPr>
                <w:rFonts w:ascii="仿宋_GB2312" w:eastAsia="仿宋_GB2312" w:hAnsi="Times New Roman" w:cs="Times New Roman"/>
                <w:color w:val="000000"/>
                <w:sz w:val="32"/>
                <w:szCs w:val="32"/>
              </w:rPr>
            </w:pPr>
            <w:r w:rsidRPr="00735518">
              <w:rPr>
                <w:rFonts w:ascii="Times New Roman" w:eastAsia="仿宋_GB2312" w:hAnsi="Times New Roman" w:cs="Times New Roman"/>
                <w:color w:val="000000"/>
                <w:sz w:val="32"/>
                <w:szCs w:val="32"/>
              </w:rPr>
              <w:t>2021</w:t>
            </w:r>
            <w:r>
              <w:rPr>
                <w:rFonts w:ascii="仿宋_GB2312" w:eastAsia="仿宋_GB2312" w:hAnsi="Times New Roman" w:cs="Times New Roman" w:hint="eastAsia"/>
                <w:color w:val="000000"/>
                <w:sz w:val="32"/>
                <w:szCs w:val="32"/>
              </w:rPr>
              <w:t>年</w:t>
            </w:r>
            <w:r>
              <w:rPr>
                <w:rFonts w:ascii="Times New Roman" w:eastAsia="仿宋_GB2312" w:hAnsi="Times New Roman" w:cs="Times New Roman"/>
                <w:color w:val="000000"/>
                <w:sz w:val="32"/>
                <w:szCs w:val="32"/>
              </w:rPr>
              <w:t>6</w:t>
            </w:r>
            <w:r>
              <w:rPr>
                <w:rFonts w:ascii="仿宋_GB2312" w:eastAsia="仿宋_GB2312" w:hAnsi="Times New Roman" w:cs="Times New Roman" w:hint="eastAsia"/>
                <w:color w:val="000000"/>
                <w:sz w:val="32"/>
                <w:szCs w:val="32"/>
              </w:rPr>
              <w:t>月</w:t>
            </w:r>
            <w:r>
              <w:rPr>
                <w:rFonts w:ascii="Times New Roman" w:eastAsia="仿宋_GB2312" w:hAnsi="Times New Roman" w:cs="Times New Roman"/>
                <w:color w:val="000000"/>
                <w:sz w:val="32"/>
                <w:szCs w:val="32"/>
              </w:rPr>
              <w:t>7</w:t>
            </w:r>
            <w:r>
              <w:rPr>
                <w:rFonts w:ascii="仿宋_GB2312" w:eastAsia="仿宋_GB2312" w:hAnsi="Times New Roman" w:cs="Times New Roman" w:hint="eastAsia"/>
                <w:color w:val="000000"/>
                <w:sz w:val="32"/>
                <w:szCs w:val="32"/>
              </w:rPr>
              <w:t>日印发</w:t>
            </w:r>
          </w:p>
        </w:tc>
      </w:tr>
    </w:tbl>
    <w:p w:rsidR="005B5006" w:rsidRDefault="005B5006">
      <w:pPr>
        <w:pStyle w:val="a4"/>
        <w:spacing w:line="500" w:lineRule="exact"/>
        <w:rPr>
          <w:rFonts w:ascii="仿宋_GB2312" w:eastAsia="仿宋_GB2312" w:hAnsi="宋体" w:cs="Courier New" w:hint="eastAsia"/>
          <w:sz w:val="32"/>
          <w:szCs w:val="32"/>
        </w:rPr>
      </w:pPr>
      <w:bookmarkStart w:id="0" w:name="_GoBack"/>
      <w:bookmarkEnd w:id="0"/>
    </w:p>
    <w:sectPr w:rsidR="005B500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7DB" w:rsidRDefault="00C437DB">
      <w:r>
        <w:separator/>
      </w:r>
    </w:p>
  </w:endnote>
  <w:endnote w:type="continuationSeparator" w:id="0">
    <w:p w:rsidR="00C437DB" w:rsidRDefault="00C4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zh-CN"/>
      </w:rPr>
      <w:id w:val="883674902"/>
    </w:sdtPr>
    <w:sdtEndPr/>
    <w:sdtContent>
      <w:p w:rsidR="00FC125F" w:rsidRDefault="00896753">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CN"/>
          </w:rPr>
          <w:t xml:space="preserve">~ </w:t>
        </w:r>
        <w:r>
          <w:rPr>
            <w:rFonts w:cs="Times New Roman"/>
            <w:sz w:val="22"/>
            <w:szCs w:val="22"/>
          </w:rPr>
          <w:fldChar w:fldCharType="begin"/>
        </w:r>
        <w:r>
          <w:instrText>PAGE    \* MERGEFORMAT</w:instrText>
        </w:r>
        <w:r>
          <w:rPr>
            <w:rFonts w:cs="Times New Roman"/>
            <w:sz w:val="22"/>
            <w:szCs w:val="22"/>
          </w:rPr>
          <w:fldChar w:fldCharType="separate"/>
        </w:r>
        <w:r w:rsidR="005B5006" w:rsidRPr="005B5006">
          <w:rPr>
            <w:rFonts w:asciiTheme="majorHAnsi" w:eastAsiaTheme="majorEastAsia" w:hAnsiTheme="majorHAnsi" w:cstheme="majorBidi"/>
            <w:noProof/>
            <w:sz w:val="28"/>
            <w:szCs w:val="28"/>
            <w:lang w:val="zh-CN"/>
          </w:rPr>
          <w:t>3</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sdtContent>
  </w:sdt>
  <w:p w:rsidR="00FC125F" w:rsidRDefault="00FC12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7DB" w:rsidRDefault="00C437DB">
      <w:r>
        <w:separator/>
      </w:r>
    </w:p>
  </w:footnote>
  <w:footnote w:type="continuationSeparator" w:id="0">
    <w:p w:rsidR="00C437DB" w:rsidRDefault="00C43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F6"/>
    <w:rsid w:val="00010A11"/>
    <w:rsid w:val="000332D8"/>
    <w:rsid w:val="0004576E"/>
    <w:rsid w:val="00071CA7"/>
    <w:rsid w:val="00075FAD"/>
    <w:rsid w:val="00087242"/>
    <w:rsid w:val="000C42C8"/>
    <w:rsid w:val="000C5804"/>
    <w:rsid w:val="000D7EA8"/>
    <w:rsid w:val="000E2F7F"/>
    <w:rsid w:val="00105BD5"/>
    <w:rsid w:val="00106487"/>
    <w:rsid w:val="0015010F"/>
    <w:rsid w:val="001530F3"/>
    <w:rsid w:val="001A23CE"/>
    <w:rsid w:val="001D1FB7"/>
    <w:rsid w:val="001E5555"/>
    <w:rsid w:val="001F3B76"/>
    <w:rsid w:val="00215948"/>
    <w:rsid w:val="0021736D"/>
    <w:rsid w:val="002263DC"/>
    <w:rsid w:val="0023086C"/>
    <w:rsid w:val="002378F6"/>
    <w:rsid w:val="00246C6E"/>
    <w:rsid w:val="0026020F"/>
    <w:rsid w:val="002667C2"/>
    <w:rsid w:val="00286766"/>
    <w:rsid w:val="002A4E77"/>
    <w:rsid w:val="002D6773"/>
    <w:rsid w:val="002E3BB5"/>
    <w:rsid w:val="00305588"/>
    <w:rsid w:val="0031569D"/>
    <w:rsid w:val="003353D5"/>
    <w:rsid w:val="00347BD5"/>
    <w:rsid w:val="00356FBC"/>
    <w:rsid w:val="00365271"/>
    <w:rsid w:val="003A79D6"/>
    <w:rsid w:val="003D5AC5"/>
    <w:rsid w:val="003E17D2"/>
    <w:rsid w:val="00425AEA"/>
    <w:rsid w:val="0043687B"/>
    <w:rsid w:val="0047325B"/>
    <w:rsid w:val="004756CC"/>
    <w:rsid w:val="004C25C1"/>
    <w:rsid w:val="004C3C5C"/>
    <w:rsid w:val="004F2B6B"/>
    <w:rsid w:val="00510C1E"/>
    <w:rsid w:val="00532EAF"/>
    <w:rsid w:val="005501D0"/>
    <w:rsid w:val="00587925"/>
    <w:rsid w:val="0059475A"/>
    <w:rsid w:val="005B5006"/>
    <w:rsid w:val="005F0FCE"/>
    <w:rsid w:val="00621691"/>
    <w:rsid w:val="00633342"/>
    <w:rsid w:val="00640E7D"/>
    <w:rsid w:val="006661B6"/>
    <w:rsid w:val="0068570F"/>
    <w:rsid w:val="006A6915"/>
    <w:rsid w:val="007019E8"/>
    <w:rsid w:val="00720352"/>
    <w:rsid w:val="00732E95"/>
    <w:rsid w:val="00744B0D"/>
    <w:rsid w:val="007B5FD7"/>
    <w:rsid w:val="007E70C3"/>
    <w:rsid w:val="007F4B91"/>
    <w:rsid w:val="007F5E81"/>
    <w:rsid w:val="0081353D"/>
    <w:rsid w:val="0082305C"/>
    <w:rsid w:val="008400D7"/>
    <w:rsid w:val="00867A00"/>
    <w:rsid w:val="00896753"/>
    <w:rsid w:val="008D3683"/>
    <w:rsid w:val="008D770A"/>
    <w:rsid w:val="00921113"/>
    <w:rsid w:val="00971E27"/>
    <w:rsid w:val="00981429"/>
    <w:rsid w:val="0099147A"/>
    <w:rsid w:val="009D1E58"/>
    <w:rsid w:val="00A03927"/>
    <w:rsid w:val="00A062DC"/>
    <w:rsid w:val="00A3493E"/>
    <w:rsid w:val="00A35437"/>
    <w:rsid w:val="00A37675"/>
    <w:rsid w:val="00A51B04"/>
    <w:rsid w:val="00AE718F"/>
    <w:rsid w:val="00AF09BD"/>
    <w:rsid w:val="00AF60A2"/>
    <w:rsid w:val="00B020BA"/>
    <w:rsid w:val="00B20B48"/>
    <w:rsid w:val="00B33AC0"/>
    <w:rsid w:val="00B82DAA"/>
    <w:rsid w:val="00BA049B"/>
    <w:rsid w:val="00BC2B30"/>
    <w:rsid w:val="00BD4E73"/>
    <w:rsid w:val="00BD7FE0"/>
    <w:rsid w:val="00C35BA7"/>
    <w:rsid w:val="00C437DB"/>
    <w:rsid w:val="00C43A95"/>
    <w:rsid w:val="00CB7FC2"/>
    <w:rsid w:val="00CD1DA3"/>
    <w:rsid w:val="00D159F1"/>
    <w:rsid w:val="00D5332D"/>
    <w:rsid w:val="00D8785D"/>
    <w:rsid w:val="00DA68A4"/>
    <w:rsid w:val="00DD1786"/>
    <w:rsid w:val="00E13DB3"/>
    <w:rsid w:val="00E5791E"/>
    <w:rsid w:val="00E73752"/>
    <w:rsid w:val="00E84432"/>
    <w:rsid w:val="00EA03F9"/>
    <w:rsid w:val="00EB0385"/>
    <w:rsid w:val="00EE4C20"/>
    <w:rsid w:val="00F16E89"/>
    <w:rsid w:val="00F627F7"/>
    <w:rsid w:val="00F679DF"/>
    <w:rsid w:val="00F7054C"/>
    <w:rsid w:val="00F83165"/>
    <w:rsid w:val="00F8553B"/>
    <w:rsid w:val="00FA5DA3"/>
    <w:rsid w:val="00FB49AB"/>
    <w:rsid w:val="00FC125F"/>
    <w:rsid w:val="108727E8"/>
    <w:rsid w:val="1D4B34CB"/>
    <w:rsid w:val="46491AB0"/>
    <w:rsid w:val="516D39EB"/>
    <w:rsid w:val="5EE86D60"/>
    <w:rsid w:val="67A46F7E"/>
    <w:rsid w:val="7E85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B93A2D-6EFF-4B98-B593-72E57DA1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仿宋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rPr>
      <w:rFonts w:ascii="宋体" w:eastAsia="宋体" w:hAnsi="Courier New" w:cs="Times New Roman"/>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Pr>
      <w:b/>
      <w:bCs/>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qFormat/>
    <w:rPr>
      <w:rFonts w:ascii="Times New Roman" w:eastAsia="仿宋_GB2312" w:hAnsi="Times New Roman" w:cs="Times New Roman"/>
      <w:b/>
      <w:bCs/>
      <w:kern w:val="44"/>
      <w:sz w:val="44"/>
      <w:szCs w:val="44"/>
    </w:rPr>
  </w:style>
  <w:style w:type="character" w:customStyle="1" w:styleId="Char0">
    <w:name w:val="纯文本 Char"/>
    <w:basedOn w:val="a0"/>
    <w:link w:val="a4"/>
    <w:qFormat/>
    <w:rPr>
      <w:rFonts w:ascii="宋体" w:eastAsia="宋体" w:hAnsi="Courier New" w:cs="Times New Roman"/>
      <w:szCs w:val="21"/>
      <w:lang w:val="en-US" w:eastAsia="zh-CN"/>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D6FA6-7B5C-45FE-8E59-9427CD8E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231</Words>
  <Characters>1322</Characters>
  <Application>Microsoft Office Word</Application>
  <DocSecurity>0</DocSecurity>
  <Lines>11</Lines>
  <Paragraphs>3</Paragraphs>
  <ScaleCrop>false</ScaleCrop>
  <Company>Microsoft</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shen</cp:lastModifiedBy>
  <cp:revision>21</cp:revision>
  <cp:lastPrinted>2021-06-17T03:13:00Z</cp:lastPrinted>
  <dcterms:created xsi:type="dcterms:W3CDTF">2021-04-07T06:35:00Z</dcterms:created>
  <dcterms:modified xsi:type="dcterms:W3CDTF">2021-06-17T03:14:00Z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6B6D3AF804734933B8B9318EEF456960</vt:lpwstr>
  </property>
</Properties>
</file>